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1"/>
        <w:keepNext w:val="false"/>
        <w:keepLines/>
        <w:widowControl w:val="false"/>
        <w:suppressAutoHyphens w:val="true"/>
        <w:bidi w:val="0"/>
        <w:spacing w:lineRule="exact" w:line="283"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color w:val="C9211E"/>
        </w:rPr>
      </w:r>
    </w:p>
    <w:p>
      <w:pPr>
        <w:pStyle w:val="11"/>
        <w:keepNext w:val="false"/>
        <w:keepLines/>
        <w:widowControl w:val="false"/>
        <w:suppressAutoHyphens w:val="true"/>
        <w:bidi w:val="0"/>
        <w:spacing w:lineRule="exact" w:line="283" w:before="0" w:after="0"/>
        <w:ind w:left="0" w:right="0" w:hanging="0"/>
        <w:jc w:val="center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ПАМЯТКА </w:t>
      </w:r>
    </w:p>
    <w:p>
      <w:pPr>
        <w:pStyle w:val="11"/>
        <w:keepNext w:val="false"/>
        <w:keepLines/>
        <w:widowControl w:val="false"/>
        <w:suppressAutoHyphens w:val="true"/>
        <w:bidi w:val="0"/>
        <w:spacing w:lineRule="exact" w:line="283" w:before="0" w:after="0"/>
        <w:ind w:left="0" w:right="0" w:hanging="0"/>
        <w:jc w:val="center"/>
        <w:rPr>
          <w:b/>
          <w:b/>
          <w:bCs/>
        </w:rPr>
      </w:pPr>
      <w:r>
        <w:rPr>
          <w:b/>
          <w:bCs/>
          <w:sz w:val="28"/>
          <w:szCs w:val="28"/>
        </w:rPr>
        <w:t>по мерам пожарной безопасности для граждан при нахождении в охранных зонах линий электропередачи (далее ЛЭП).</w:t>
      </w:r>
    </w:p>
    <w:p>
      <w:pPr>
        <w:pStyle w:val="11"/>
        <w:widowControl w:val="false"/>
        <w:suppressAutoHyphens w:val="true"/>
        <w:bidi w:val="0"/>
        <w:spacing w:lineRule="exact" w:line="283" w:before="0" w:after="0"/>
        <w:ind w:left="0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11"/>
        <w:shd w:val="clear" w:fill="auto"/>
        <w:spacing w:lineRule="exact" w:line="283"/>
        <w:ind w:left="20" w:right="380" w:firstLine="680"/>
        <w:rPr/>
      </w:pPr>
      <w:r>
        <w:rPr>
          <w:rFonts w:ascii="Nimbus Roman" w:hAnsi="Nimbus Roman"/>
          <w:sz w:val="28"/>
          <w:szCs w:val="28"/>
        </w:rPr>
        <w:t xml:space="preserve">В целях обеспечения пожарной безопасности в охранных зонах воздушных линий электропередачи в весеннее-летний период и предотвращения повреждений и отключений ЛЭП от низовых и верховых пожаров (возгорания) Постановлением Правительства от 24.02.2009 года № 160 «О порядке установления охранных зон объектов электросетевого хозяйства и особых условий использования земельных участок, расположенных в границах таких зон» установлены охранные зоны вдоль воздушных линий, определяемые параллельными прямыми отстоящими на расстоянии 15 м от крайних проводов для В Л 3 5 кВ и 20 м для В Л 110кВ , в зоне которых </w:t>
      </w:r>
      <w:r>
        <w:rPr>
          <w:rStyle w:val="0pt"/>
          <w:rFonts w:ascii="Nimbus Roman" w:hAnsi="Nimbus Roman"/>
          <w:sz w:val="28"/>
          <w:szCs w:val="28"/>
        </w:rPr>
        <w:t>запрещается:</w:t>
      </w:r>
    </w:p>
    <w:p>
      <w:pPr>
        <w:pStyle w:val="11"/>
        <w:numPr>
          <w:ilvl w:val="0"/>
          <w:numId w:val="2"/>
        </w:numPr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 </w:t>
      </w:r>
      <w:r>
        <w:rPr>
          <w:rFonts w:ascii="Nimbus Roman" w:hAnsi="Nimbus Roman"/>
          <w:sz w:val="28"/>
          <w:szCs w:val="28"/>
        </w:rPr>
        <w:t>Осуществлять любые действия, которые могут нарушить безопасную работу объектов электросетевого хозяйства, в том числе привести к их повреждению или уничтожению, и (или) повлечь причинение вреда жизни, здоровью граждан и имуществу физических или юридических лиц, а также повлечь нанесение экологического ущерба и возникновение пожаров, в том числе:</w:t>
      </w:r>
    </w:p>
    <w:p>
      <w:pPr>
        <w:pStyle w:val="11"/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а) набрасывать на провода и опоры воздушных линий электропередачи посторонние предметы, а также поднимется на опоры воздушных линий электропередачи;</w:t>
      </w:r>
    </w:p>
    <w:p>
      <w:pPr>
        <w:pStyle w:val="11"/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б) размещать любые объекты и предметы (материалы) в пределах, созданных в соответствии с требованиями нормативно-технических документов проходов и подъездов для доступа к объектам электросетевого хозяйства, а также проводить любые работы и возводить сооружения, которые могут препятствовать доступу к объектам электросетевого хозяйства, без создания необходимых для такого доступа новых проходов и подъездов;</w:t>
      </w:r>
    </w:p>
    <w:p>
      <w:pPr>
        <w:pStyle w:val="11"/>
        <w:shd w:val="clear" w:fill="auto"/>
        <w:spacing w:lineRule="exact" w:line="283"/>
        <w:ind w:lef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в) размещать свалки.</w:t>
      </w:r>
    </w:p>
    <w:p>
      <w:pPr>
        <w:pStyle w:val="11"/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г) складировать или размещать хранилища любых, в том числе горюче</w:t>
        <w:softHyphen/>
        <w:t>смазочных материалов;</w:t>
      </w:r>
    </w:p>
    <w:p>
      <w:pPr>
        <w:pStyle w:val="11"/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д) размещать детские и спортивные площадки, стадионы, рынки, торговые точки, полевые станы, загоны для скота, гаражи и стоянки всех видов машин и механизмов, за исключением гаражей-стоянок автомобилей, принадлежащих физическим лицам, проводить любые мероприятия, связанные с большим скоплением людей, не занятых выполнением разрешенных в установленном порядке работ (в охранных зонах воздушных линий электропередачи);</w:t>
      </w:r>
    </w:p>
    <w:p>
      <w:pPr>
        <w:pStyle w:val="11"/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е) использовать (запускать) любые летательные аппараты, в том числе воздушных змеев, спортивные модели летательных аппаратов (в охранных зонах воздушных линий электропередачи);</w:t>
      </w:r>
    </w:p>
    <w:p>
      <w:pPr>
        <w:pStyle w:val="11"/>
        <w:shd w:val="clear" w:fill="auto"/>
        <w:spacing w:lineRule="exact" w:line="283"/>
        <w:ind w:lef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ж) осуществлять сжигание стерни, сухостоя травы, камыша.</w:t>
      </w:r>
    </w:p>
    <w:p>
      <w:pPr>
        <w:pStyle w:val="11"/>
        <w:numPr>
          <w:ilvl w:val="0"/>
          <w:numId w:val="2"/>
        </w:numPr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 xml:space="preserve"> </w:t>
      </w:r>
      <w:r>
        <w:rPr>
          <w:rFonts w:ascii="Nimbus Roman" w:hAnsi="Nimbus Roman"/>
          <w:sz w:val="28"/>
          <w:szCs w:val="28"/>
        </w:rPr>
        <w:t>В пределах охранных зон без письменного согласования сетевых организаций юридическим и физическим лицам запрещается:</w:t>
      </w:r>
    </w:p>
    <w:p>
      <w:pPr>
        <w:pStyle w:val="11"/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а) строительство, капитальный ремонт, реконструкция или снос зданий и сооружений;</w:t>
      </w:r>
    </w:p>
    <w:p>
      <w:pPr>
        <w:pStyle w:val="11"/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б) горные, взрывные, мелиоративные работы, в том числе связанные с временным затоплением земель;</w:t>
      </w:r>
    </w:p>
    <w:p>
      <w:pPr>
        <w:pStyle w:val="11"/>
        <w:shd w:val="clear" w:fill="auto"/>
        <w:spacing w:lineRule="exact" w:line="283"/>
        <w:ind w:lef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в) посадка и вырубка деревьев и кустарников;</w:t>
      </w:r>
    </w:p>
    <w:p>
      <w:pPr>
        <w:pStyle w:val="11"/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г) проезд машин и механизмов, имеющих общую высоту с грузом или без груза от поверхности дороги более 4,5 метра (в охранных зонах воздушных линий электропередачи);</w:t>
      </w:r>
    </w:p>
    <w:p>
      <w:pPr>
        <w:pStyle w:val="11"/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д) земляные работы на глубине более 0,3 метра (на вспахиваемых землях на глубине более 0,45 метра), а также планировка грунта (в охранных зонах подземных кабельных линий электропередачи);</w:t>
      </w:r>
    </w:p>
    <w:p>
      <w:pPr>
        <w:pStyle w:val="11"/>
        <w:shd w:val="clear" w:fill="auto"/>
        <w:spacing w:lineRule="exact" w:line="283"/>
        <w:ind w:left="40" w:right="4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е) полив сельскохозяйственных культур в случае, если высота струи воды может составить свыше 3 метров (в охранных зонах воздушных линий электропередачи);</w:t>
      </w:r>
    </w:p>
    <w:p>
      <w:pPr>
        <w:pStyle w:val="11"/>
        <w:shd w:val="clear" w:fill="auto"/>
        <w:tabs>
          <w:tab w:val="clear" w:pos="708"/>
          <w:tab w:val="left" w:pos="1450" w:leader="none"/>
        </w:tabs>
        <w:spacing w:lineRule="exact" w:line="283"/>
        <w:ind w:left="20" w:right="2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ж)</w:t>
        <w:tab/>
        <w:t>полевые сельскохозяйственные работы с применением сельскохозяйственных машин и оборудования высотой более4 метров (в охранных зонах воздушных линий электропередачи) или полевые сельскохозяйственные работы, связанные с вспашкой земли (в охранных зонах кабельных линий электропередачи).</w:t>
      </w:r>
    </w:p>
    <w:p>
      <w:pPr>
        <w:pStyle w:val="11"/>
        <w:shd w:val="clear" w:fill="auto"/>
        <w:spacing w:lineRule="exact" w:line="283"/>
        <w:ind w:left="20" w:right="2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4. При обнаружении сетевыми организациями и иными лицами фактов осуществления в границах охранных зон действий, запрещенных Постановлением Правительства от 24.02.2009 года № 160 «О порядке установления охранных зон объектов электросетевого хозяйства и особых условий использования, земельных участок, расположенных в границах таких зон», без получения письменного согласования сетевой организации, лица обнаружившие нарушение, направляют заявление о наличии таких фактов в федеральный орган исполнительной власти, уполномоченный на осуществление технического контроля и надзора в электроэнергетике, а также вправе в соответствии с законодательством РФ обратиться в суд и (или) органы исполнительной власти, уполномоченные на рассмотрение дел о соответствующих правонарушениях.</w:t>
      </w:r>
    </w:p>
    <w:p>
      <w:pPr>
        <w:pStyle w:val="11"/>
        <w:shd w:val="clear" w:fill="auto"/>
        <w:spacing w:lineRule="exact" w:line="283"/>
        <w:ind w:left="20" w:right="2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Нарушение гражданами и должностными лицами Постановления Правительства от 24.02.2009 года № 160 «О порядке установления охранных зон объектов электросетевого хозяйства и особых условий использования, земельных участок, расположенных в границах таких зон», которое вызвало или могло вызвать перерыв в обеспечении потребителя электроэнергией, повреждение электролиний или - причинение иного ущерба влечет административную ответственность по ст. 9.7 и 9.8 «Кодекса об административных правонарушениях России».</w:t>
      </w:r>
    </w:p>
    <w:p>
      <w:pPr>
        <w:pStyle w:val="11"/>
        <w:shd w:val="clear" w:fill="auto"/>
        <w:spacing w:lineRule="exact" w:line="283"/>
        <w:ind w:left="20" w:right="20" w:firstLine="700"/>
        <w:rPr>
          <w:rFonts w:ascii="Nimbus Roman" w:hAnsi="Nimbus Roman"/>
          <w:sz w:val="28"/>
          <w:szCs w:val="28"/>
        </w:rPr>
      </w:pPr>
      <w:r>
        <w:rPr>
          <w:rFonts w:ascii="Nimbus Roman" w:hAnsi="Nimbus Roman"/>
          <w:sz w:val="28"/>
          <w:szCs w:val="28"/>
        </w:rPr>
        <w:t>Причинение ущерба электрическим линиям в крупном размере в результате неосторожного обращения граждан и должностных лиц с огнем и др., влечет уголовную ответственность, предусмотренную ст. 168 Уголовного кодекса РФ.</w:t>
      </w:r>
    </w:p>
    <w:p>
      <w:pPr>
        <w:pStyle w:val="11"/>
        <w:shd w:val="clear" w:fill="auto"/>
        <w:spacing w:lineRule="exact" w:line="283" w:before="0" w:after="200"/>
        <w:ind w:left="20" w:right="380" w:firstLine="680"/>
        <w:rPr>
          <w:i/>
          <w:i/>
          <w:caps w:val="false"/>
          <w:smallCaps w:val="false"/>
          <w:color w:val="000000"/>
          <w:spacing w:val="0"/>
        </w:rPr>
      </w:pPr>
      <w:r>
        <w:rPr>
          <w:rFonts w:ascii="Nimbus Roman" w:hAnsi="Nimbus Roman"/>
          <w:b/>
          <w:bCs/>
          <w:i/>
          <w:caps w:val="false"/>
          <w:smallCaps w:val="false"/>
          <w:color w:val="000000"/>
          <w:spacing w:val="0"/>
          <w:sz w:val="26"/>
          <w:szCs w:val="26"/>
        </w:rPr>
        <w:t>Производственное отделение «Михайловские электрические сети»</w:t>
      </w:r>
    </w:p>
    <w:sectPr>
      <w:type w:val="nextPage"/>
      <w:pgSz w:w="11906" w:h="16838"/>
      <w:pgMar w:left="1701" w:right="1134" w:gutter="0" w:header="0" w:top="680" w:footer="0" w:bottom="68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empora LGC Uni">
    <w:charset w:val="01"/>
    <w:family w:val="roman"/>
    <w:pitch w:val="variable"/>
  </w:font>
  <w:font w:name="Calibri">
    <w:charset w:val="01"/>
    <w:family w:val="roman"/>
    <w:pitch w:val="variable"/>
  </w:font>
  <w:font w:name="Tempora LGC Uni">
    <w:charset w:val="01"/>
    <w:family w:val="swiss"/>
    <w:pitch w:val="variable"/>
  </w:font>
  <w:font w:name="OpenSymbol">
    <w:altName w:val="Arial Unicode MS"/>
    <w:charset w:val="01"/>
    <w:family w:val="roman"/>
    <w:pitch w:val="variable"/>
  </w:font>
  <w:font w:name="Times New Roman">
    <w:charset w:val="01"/>
    <w:family w:val="roman"/>
    <w:pitch w:val="variable"/>
  </w:font>
  <w:font w:name="Open Sans">
    <w:charset w:val="01"/>
    <w:family w:val="roman"/>
    <w:pitch w:val="variable"/>
  </w:font>
  <w:font w:name="Nimbus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vertAlign w:val="baseline"/>
        <w:position w:val="0"/>
        <w:sz w:val="24"/>
        <w:sz w:val="24"/>
        <w:spacing w:val="2"/>
        <w:i w:val="false"/>
        <w:u w:val="none"/>
        <w:b w:val="false"/>
        <w:szCs w:val="24"/>
        <w:iCs w:val="false"/>
        <w:bCs w:val="false"/>
        <w:w w:val="100"/>
        <w:rFonts w:ascii="Times New Roman" w:hAnsi="Times New Roman" w:eastAsia="Times New Roman" w:cs="Times New Roman"/>
        <w:color w:val="000000"/>
        <w:lang w:val="ru-RU" w:bidi="ru-RU"/>
      </w:rPr>
    </w:lvl>
    <w:lvl w:ilvl="1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0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Tempora LGC Uni" w:hAnsi="Tempora LGC Uni" w:eastAsia="Open Sans" w:cs="DejaVu Sans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Tempora LGC Uni" w:hAnsi="Tempora LGC Uni" w:eastAsia="Open Sans" w:cs="DejaVu Sans"/>
      <w:b/>
      <w:bCs/>
      <w:sz w:val="36"/>
      <w:szCs w:val="36"/>
    </w:rPr>
  </w:style>
  <w:style w:type="paragraph" w:styleId="3">
    <w:name w:val="Heading 3"/>
    <w:basedOn w:val="Style15"/>
    <w:next w:val="Style16"/>
    <w:qFormat/>
    <w:pPr>
      <w:spacing w:before="140" w:after="120"/>
      <w:outlineLvl w:val="2"/>
    </w:pPr>
    <w:rPr>
      <w:rFonts w:ascii="Tempora LGC Uni" w:hAnsi="Tempora LGC Uni" w:eastAsia="Open Sans" w:cs="DejaVu Sans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1">
    <w:name w:val="Символ нумерации"/>
    <w:qFormat/>
    <w:rPr/>
  </w:style>
  <w:style w:type="character" w:styleId="Style12">
    <w:name w:val="Hyperlink"/>
    <w:rPr>
      <w:color w:val="000080"/>
      <w:u w:val="single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character" w:styleId="Ins">
    <w:name w:val="ins"/>
    <w:qFormat/>
    <w:rPr/>
  </w:style>
  <w:style w:type="character" w:styleId="Strong">
    <w:name w:val="Strong"/>
    <w:qFormat/>
    <w:rPr>
      <w:b/>
      <w:bCs/>
    </w:rPr>
  </w:style>
  <w:style w:type="character" w:styleId="Style14">
    <w:name w:val="Emphasis"/>
    <w:qFormat/>
    <w:rPr>
      <w:i/>
      <w:iCs/>
    </w:rPr>
  </w:style>
  <w:style w:type="character" w:styleId="WW8Num1z0">
    <w:name w:val="WW8Num1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0pt">
    <w:name w:val="Основной текст + Полужирный;Интервал 0 pt"/>
    <w:qFormat/>
    <w:rPr>
      <w:rFonts w:ascii="Times New Roman" w:hAnsi="Times New Roman" w:eastAsia="Times New Roman"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7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character" w:styleId="WW8Num2z0">
    <w:name w:val="WW8Num2z0"/>
    <w:qFormat/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2"/>
      <w:w w:val="100"/>
      <w:position w:val="0"/>
      <w:sz w:val="24"/>
      <w:sz w:val="24"/>
      <w:szCs w:val="24"/>
      <w:u w:val="none"/>
      <w:vertAlign w:val="baseline"/>
      <w:lang w:val="ru-RU" w:bidi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Open Sans" w:hAnsi="Open Sans" w:eastAsia="WenQuanYi Micro Hei" w:cs="Lohit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Lohit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Lohit Devanagari"/>
    </w:rPr>
  </w:style>
  <w:style w:type="paragraph" w:styleId="Style20">
    <w:name w:val="Содержимое врезки"/>
    <w:basedOn w:val="Normal"/>
    <w:qFormat/>
    <w:pPr/>
    <w:rPr/>
  </w:style>
  <w:style w:type="paragraph" w:styleId="Style21">
    <w:name w:val="Горизонтальная линия"/>
    <w:basedOn w:val="Normal"/>
    <w:next w:val="Style16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Style22">
    <w:name w:val="Содержимое списка"/>
    <w:basedOn w:val="Normal"/>
    <w:qFormat/>
    <w:pPr>
      <w:ind w:left="567" w:hanging="0"/>
    </w:pPr>
    <w:rPr/>
  </w:style>
  <w:style w:type="paragraph" w:styleId="Style23">
    <w:name w:val="Заголовок списка"/>
    <w:basedOn w:val="Normal"/>
    <w:next w:val="Style22"/>
    <w:qFormat/>
    <w:pPr>
      <w:ind w:hanging="0"/>
    </w:pPr>
    <w:rPr/>
  </w:style>
  <w:style w:type="paragraph" w:styleId="11">
    <w:name w:val="Основной текст1"/>
    <w:basedOn w:val="Normal"/>
    <w:qFormat/>
    <w:pPr>
      <w:keepNext w:val="false"/>
      <w:keepLines/>
      <w:widowControl w:val="false"/>
      <w:shd w:val="clear" w:fill="FFFFFF"/>
      <w:spacing w:lineRule="exact" w:line="317"/>
      <w:jc w:val="both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spacing w:val="2"/>
      <w:u w:val="none"/>
    </w:rPr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Application>LibreOffice/7.4.4.2$Linux_X86_64 LibreOffice_project/40$Build-2</Application>
  <AppVersion>15.0000</AppVersion>
  <Pages>2</Pages>
  <Words>653</Words>
  <Characters>4451</Characters>
  <CharactersWithSpaces>5082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2023-11-23T07:40:00Z</dcterms:created>
  <dc:creator>DupakSG</dc:creator>
  <dc:description/>
  <dc:language>ru-RU</dc:language>
  <cp:lastModifiedBy/>
  <cp:lastPrinted>2024-03-19T16:21:27Z</cp:lastPrinted>
  <dcterms:modified xsi:type="dcterms:W3CDTF">2024-03-29T11:20:14Z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